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402"/>
        <w:gridCol w:w="222"/>
        <w:gridCol w:w="1365"/>
        <w:gridCol w:w="2729"/>
      </w:tblGrid>
      <w:tr w:rsidR="0064017E">
        <w:trPr>
          <w:trHeight w:val="27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  <w:tr w:rsidR="0064017E">
        <w:trPr>
          <w:trHeight w:val="25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64017E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0503760</w:t>
            </w:r>
          </w:p>
        </w:tc>
      </w:tr>
      <w:tr w:rsidR="0064017E">
        <w:trPr>
          <w:trHeight w:val="320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июля 2024 г.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Дата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01.07.2024</w:t>
            </w:r>
          </w:p>
        </w:tc>
      </w:tr>
      <w:tr w:rsidR="0064017E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ГОСУДАРСТВЕННОЕ БЮДЖЕТНОЕ УЧРЕЖДЕНИЕ ЗДРАВООХРАНЕНИЯ "ЛОПАТИНСКАЯ УЧАСТКОВАЯ БОЛЬНИЦА"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 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01938851</w:t>
            </w:r>
          </w:p>
        </w:tc>
      </w:tr>
      <w:tr w:rsidR="0064017E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Обособленное подразделение 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МИНИСТЕРСТВО ЗДРАВООХРАНЕНИЯ ПЕНЗЕНСКОЙ ОБЛАСТИ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</w:tr>
      <w:tr w:rsidR="0064017E">
        <w:trPr>
          <w:trHeight w:val="4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56000000</w:t>
            </w:r>
          </w:p>
        </w:tc>
      </w:tr>
      <w:tr w:rsidR="0064017E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органа,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</w:tr>
      <w:tr w:rsidR="0064017E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осуществляющего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01938851</w:t>
            </w:r>
          </w:p>
        </w:tc>
      </w:tr>
      <w:tr w:rsidR="0064017E">
        <w:trPr>
          <w:trHeight w:val="320"/>
        </w:trPr>
        <w:tc>
          <w:tcPr>
            <w:tcW w:w="5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полномочия учредителя   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по БК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855</w:t>
            </w:r>
          </w:p>
        </w:tc>
      </w:tr>
      <w:tr w:rsidR="0064017E">
        <w:trPr>
          <w:trHeight w:val="282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Периодичность: 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квартальная, годовая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4017E">
        <w:trPr>
          <w:trHeight w:val="3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Балансу по форме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0503730</w:t>
            </w:r>
          </w:p>
        </w:tc>
      </w:tr>
      <w:tr w:rsidR="0064017E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   по ОКЕИ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64017E">
        <w:trPr>
          <w:trHeight w:val="282"/>
        </w:trPr>
        <w:tc>
          <w:tcPr>
            <w:tcW w:w="971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1 «Организационная структура учреждения»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210"/>
        <w:gridCol w:w="5211"/>
      </w:tblGrid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Юридический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442550, Пензенская область, Лопатинский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район, 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Лопатино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улица Юбилейная д. 33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Почтовый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442550, Пензенская область, Лопатинский район, с.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Лопатино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улица Юбилейная д. 33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Перечень видов осуществляемой деятельности в соответствии с ОКВЭД 2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86.10 – деятельность амбулаторно-пол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иклинических учреждений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Врачебная амбулатория с. Даниловка, Козловский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ФАП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,Б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узовлевский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Вершаутский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Генеральщинский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Карлыганский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Китунькинский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Веховский ФАП, Дубровский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Пылковский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Суляевский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ФАП,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Берликский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Буденовский фельдшерский здравпункт, Владимирский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Верешимский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Ивановский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Камаевски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Луначарский фельдшерский здравпункт, Огаревский фельдшерский здравпункт, Второе отделение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Солнечный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Точкинский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Чардымский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фельдшерский здравпункт, Отделение профилактики и реабили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тации при Лопатинской средней школе, Медицинский пункт МБДОУ детский сад комбинированного вида №2.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Было ли изменение типа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Была ли реорганизация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Было ли изменение наименования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органа, осуществляющего внешний государственный финансовый контроль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Счетная палата Пензенской области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полномочий учреждения?*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Применялось ли профессиональное суждение бухгалтера 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Переданы ли полномочия по ведению бухгалтерского учета другому учреждению?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в составе наблюдательного совета учреждения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Представленные показатели бухгалтерской отчетности за отчетный перио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 сформированы исходя из нормативных правовых актов, регулирующих ведение бухгалтерского учета и составление бухгалтерской отчетности?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</w:t>
            </w:r>
          </w:p>
        </w:tc>
      </w:tr>
      <w:tr w:rsidR="0064017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Имеется ли информация о будущих отчетных периодах, касающаяся рисков существенных корректировок балансовой стоимости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активов и обязательств?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2 «Результаты деятельности учреждения» </w:t>
      </w:r>
    </w:p>
    <w:p w:rsidR="0064017E" w:rsidRDefault="001C1F8D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Количество работников, прошедших переподготовку и повышение квалификации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448"/>
        <w:gridCol w:w="2343"/>
        <w:gridCol w:w="2618"/>
        <w:gridCol w:w="2617"/>
        <w:gridCol w:w="2480"/>
      </w:tblGrid>
      <w:tr w:rsidR="0064017E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4017E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Прошло за отчетный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периодпереподготовку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и повышение квалификации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64017E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Среднесписочная численность работников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60"/>
        <w:gridCol w:w="2259"/>
        <w:gridCol w:w="1984"/>
        <w:gridCol w:w="1985"/>
        <w:gridCol w:w="1949"/>
      </w:tblGrid>
      <w:tr w:rsidR="0064017E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4017E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Среднесписочная численность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работников за отчетный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периодвсего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64017E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133.9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Штатная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Штатная численность работников на отчетную дату всего, 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42,75</w:t>
            </w:r>
          </w:p>
        </w:tc>
      </w:tr>
    </w:tbl>
    <w:p w:rsidR="0064017E" w:rsidRDefault="001C1F8D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Фактическая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Фактическая численность работников на отчетную дату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числе из гр.1 младший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,ч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ел</w:t>
            </w:r>
            <w:proofErr w:type="spellEnd"/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средней заработной плате работников 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(за исключением внешних совместителей)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8"/>
        <w:gridCol w:w="2128"/>
        <w:gridCol w:w="1987"/>
        <w:gridCol w:w="2191"/>
      </w:tblGrid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4017E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работников за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отчетный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врачей (преподавателей)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среднего медперсонала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младшего медперсонала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проч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их сотрудников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39513.46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70978.13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35336.73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39287.50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28712.70</w:t>
            </w:r>
          </w:p>
        </w:tc>
      </w:tr>
    </w:tbl>
    <w:p w:rsidR="0064017E" w:rsidRDefault="001C1F8D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заключенных договорах/контрактах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2122"/>
        <w:gridCol w:w="2156"/>
        <w:gridCol w:w="2106"/>
        <w:gridCol w:w="1989"/>
      </w:tblGrid>
      <w:tr w:rsidR="0064017E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4017E">
        <w:trPr>
          <w:trHeight w:val="1089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Количество договоров/контрактов, заключенных по закону 44-ФЗ за отчетный период,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заключенных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договоров/контрактов в отчетном периоде по закону 44-ФЗ,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Количество договоров/контрактов, заключенных по закону 223-ФЗ в отчетном периоде,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заключенных договоров/контрактов в отчетном периоде по закону 223-ФЗ,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экон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омии, сложившейся по итогам конкурентных процедур в отчетном периоде,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 (по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44-ФЗ и 223-ФЗ)</w:t>
            </w:r>
          </w:p>
        </w:tc>
      </w:tr>
      <w:tr w:rsidR="0064017E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23259.69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421.62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2207.14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экономических санкциях, выставленных учреждению 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отчетном периоде (подстатьи КОСГУ 292, 293,295)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9"/>
        <w:gridCol w:w="2271"/>
        <w:gridCol w:w="3974"/>
      </w:tblGrid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выставленных учреждению в отчетном периоде,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оплаченных учреждением в отчетном периоде (по санкциям из гр.1),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неоплаченных санкций (гр.1-гр.2),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неоплаты санкций</w:t>
            </w:r>
          </w:p>
        </w:tc>
      </w:tr>
      <w:tr w:rsidR="0064017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49779,11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49779,11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судебных исках, выставленных учреждению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42"/>
        <w:gridCol w:w="1555"/>
        <w:gridCol w:w="1561"/>
        <w:gridCol w:w="1845"/>
        <w:gridCol w:w="1845"/>
        <w:gridCol w:w="3122"/>
      </w:tblGrid>
      <w:tr w:rsidR="0064017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64017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исполнительного документа,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сумма, оплаченная по исполнительному документу,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64017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судебных исках, выставленных учреждением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1561"/>
        <w:gridCol w:w="1561"/>
        <w:gridCol w:w="1845"/>
        <w:gridCol w:w="1845"/>
        <w:gridCol w:w="3122"/>
      </w:tblGrid>
      <w:tr w:rsidR="0064017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64017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исполнительного документа,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сумма, оплаченная по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исполнительному документу,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64017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</w:t>
      </w:r>
    </w:p>
    <w:p w:rsidR="0064017E" w:rsidRDefault="001C1F8D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остатках на счете 0 106 11 000 </w:t>
      </w:r>
    </w:p>
    <w:p w:rsidR="0064017E" w:rsidRDefault="001C1F8D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«Вложения в основные средства - недвижимое имущество»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4698"/>
        <w:gridCol w:w="2103"/>
        <w:gridCol w:w="3226"/>
      </w:tblGrid>
      <w:tr w:rsidR="0064017E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64017E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и фактический адрес (без указания индекса) объекта недвижимого имущества в строительство, реконструкцию, модернизацию, дооборудование,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остатка по счету 0 106 11 000  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н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аличия остатка по счету с указанием предполагаемых сроков введения объекта в эксплуатацию (в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64017E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3 «Анализ отчета об исполнении учреждением плана его деятельности» 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причинах исполнения кассовых расходов менее 45%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633"/>
        <w:gridCol w:w="1771"/>
        <w:gridCol w:w="1981"/>
        <w:gridCol w:w="5115"/>
      </w:tblGrid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субсидии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кассовых расходов по отношению к ПФХД по расходам на отчетную дату, %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Подробные причины неисполнения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002И14040502Ж4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 на стадии регистрации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29.71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002И01410050234 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211З01410050234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211З01411050294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26.31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18.49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 графика финансирования субсидии</w:t>
            </w:r>
          </w:p>
        </w:tc>
      </w:tr>
      <w:tr w:rsidR="0064017E">
        <w:trPr>
          <w:trHeight w:val="296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32.52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23.97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31.19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13.74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31.64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25.19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27.93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33.19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35.67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Договора на стадии регистрации</w:t>
            </w:r>
          </w:p>
        </w:tc>
      </w:tr>
      <w:tr w:rsidR="0064017E">
        <w:trPr>
          <w:trHeight w:val="295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35.81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rPr>
          <w:trHeight w:val="295"/>
        </w:trPr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10.73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графика финансирования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23.54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223В01411050294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13.01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290Н01410050224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340Г01410050234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340М01410050214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Неправильное 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340М01410050234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11.35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340П01411050294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002И011N7252505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34.01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310O011N9536525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Ожидается ввод в эксплуатацию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340М01407253505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Неправильное планирование графика финансирования субсидии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З18716401999995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39,19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Некачественное планирование ПФХД</w:t>
            </w:r>
          </w:p>
        </w:tc>
      </w:tr>
      <w:tr w:rsidR="0064017E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64017E" w:rsidRDefault="001C1F8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left="-360" w:right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Расхождения плановых и кассовых показателей в отчетности </w:t>
      </w:r>
    </w:p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 данными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АЦК-Финансы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64017E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расхождения</w:t>
            </w:r>
          </w:p>
        </w:tc>
      </w:tr>
      <w:tr w:rsidR="0064017E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4 «Анализ показателей отчетности учреждения»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дебиторской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64017E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64017E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64017E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кредиторской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64017E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64017E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финансового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Юридическое наименование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Месяц и год образования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задолженности в формате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ггг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Вид задолженности (за что конкретно),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причины образования и принимаемые меры</w:t>
            </w:r>
          </w:p>
        </w:tc>
      </w:tr>
      <w:tr w:rsidR="0064017E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Причины образования остатков денежных средств на лицевых счетах </w:t>
      </w:r>
      <w:r>
        <w:rPr>
          <w:rFonts w:ascii="Calibri" w:eastAsia="Calibri" w:hAnsi="Calibri" w:cs="Calibri"/>
          <w:color w:val="000000"/>
          <w:sz w:val="26"/>
          <w:szCs w:val="26"/>
        </w:rPr>
        <w:t>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56"/>
        <w:gridCol w:w="3032"/>
        <w:gridCol w:w="3169"/>
        <w:gridCol w:w="4549"/>
      </w:tblGrid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на отчетную дату, тыс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остатка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1581,1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приобретение оборудования по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родовым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сертификатьам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на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выплату заработной платы, страховых взносов, на приобретение медикаментов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171,0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Обеспечение контрактов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12736,2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Некачественное планирование расходов.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493,5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сопровождение ЕГИСЗ.,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оплату медикаментов и медицинского оборудования.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855.18.218.6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8687,2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Остаток на оплату медицинского оборудования</w:t>
            </w:r>
          </w:p>
        </w:tc>
      </w:tr>
      <w:tr w:rsidR="0064017E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855.18.218.7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8486,9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выплату заработной платы, страховых взносов, на приобретение мягкого инвентаря, ГСМ,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Продуктов питания, медикаментов</w:t>
            </w:r>
          </w:p>
        </w:tc>
      </w:tr>
    </w:tbl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остатков денежных средств на расчетных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30"/>
        <w:gridCol w:w="4687"/>
        <w:gridCol w:w="5789"/>
      </w:tblGrid>
      <w:tr w:rsidR="0064017E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64017E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остатков на отчетную дату по всем расчетным счетам, руб.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остатков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Реквизиты нормативного правового акта, 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соответствии с которым возникла необходимость открытия таких счетов</w:t>
            </w:r>
          </w:p>
        </w:tc>
      </w:tr>
      <w:tr w:rsidR="0064017E">
        <w:trPr>
          <w:trHeight w:val="70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 </w:t>
      </w:r>
    </w:p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неисполненных судебных решениях 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части подстатей КОСГУ 296 и 297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92"/>
        <w:gridCol w:w="1429"/>
        <w:gridCol w:w="1625"/>
        <w:gridCol w:w="1691"/>
        <w:gridCol w:w="1730"/>
        <w:gridCol w:w="2433"/>
      </w:tblGrid>
      <w:tr w:rsidR="0064017E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64017E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финансового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Юридическое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Сумма неисполнения на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Правовое основание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образования задолженности (№ и дата исполнительного документа с указанием выдавшего его судебного органа)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Причина неисполнения исполнительного документа</w:t>
            </w:r>
          </w:p>
        </w:tc>
      </w:tr>
      <w:tr w:rsidR="0064017E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64017E" w:rsidRDefault="001C1F8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Раздел 5 «Прочие вопросы деятельности учреждения» 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64017E" w:rsidRDefault="001C1F8D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имеющие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28"/>
        <w:gridCol w:w="3656"/>
        <w:gridCol w:w="2956"/>
      </w:tblGrid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изменении остатков валюты баланса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2+3+7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Сведения об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изменении остатков валюты баланса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5+6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изменении остатков валюты баланса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0503737М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0503738М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Отчет об обязательствах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0503766М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исполнении плана финансово-хозяйственной деятельности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0503769M_K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по дебиторской и кредиторской задолженности (Кредит)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0503769M_D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по дебиторской и кредиторской задолженности (Дебет)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0503779М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остатках денежных средств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Справка по консолидируемым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0503295М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исполнении судебных решений по денежным обязательствам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64017E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0503760_т11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увеличения просроченной задолженности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</w:t>
      </w:r>
      <w:r>
        <w:rPr>
          <w:rFonts w:ascii="Calibri" w:eastAsia="Calibri" w:hAnsi="Calibri" w:cs="Calibri"/>
          <w:color w:val="000000"/>
          <w:sz w:val="26"/>
          <w:szCs w:val="26"/>
        </w:rPr>
        <w:t>невыясненных средствах на лицевых счетах учреждения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64017E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Описание и сумма невыясненных средств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неустранения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на отчетную дату</w:t>
            </w:r>
          </w:p>
        </w:tc>
      </w:tr>
      <w:tr w:rsidR="0064017E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64017E" w:rsidRDefault="001C1F8D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64017E" w:rsidRDefault="001C1F8D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64017E" w:rsidRDefault="001C1F8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276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382"/>
        <w:gridCol w:w="6383"/>
      </w:tblGrid>
      <w:tr w:rsidR="0064017E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Состав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предупреждения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64017E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dx_frag_StartFragment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ф. 0503779 Длина номера банковского (лицевого) счёта должна быть 20 символов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Допустимая ошибка в связи со структурой лицевых счетов</w:t>
            </w:r>
          </w:p>
        </w:tc>
      </w:tr>
      <w:tr w:rsidR="0064017E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Проверяемая форма: 0503737M Тип=Бюджетный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идФинОб=7,Наименование=средства по обязательному медицинскому страхованию за март 2024 года (версия 01.03.2020)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Количество ошибок: 3, из них предупреждений: 3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  <w:bookmarkStart w:id="1" w:name="_dx_frag_EndFragment"/>
            <w:bookmarkEnd w:id="1"/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Поступление денежных средств НСЗ не являются до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ходами за оказанные услуги, поэтому отражаются по КПД 150 как трансферты</w:t>
            </w:r>
          </w:p>
        </w:tc>
      </w:tr>
      <w:tr w:rsidR="0064017E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Для счета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х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401 4х 1хх указывается только</w:t>
            </w:r>
          </w:p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детализированные КОСГУ, КБК должен</w:t>
            </w:r>
          </w:p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соответствовать маске YY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0000000000 000 (в</w:t>
            </w:r>
            <w:proofErr w:type="gramEnd"/>
          </w:p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части 04014х121, 122,123), где YYYY не равно 0000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 заполн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ен код аналитики 000 401 41 121; 000 401 49 121.</w:t>
            </w:r>
          </w:p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Ошибка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являестя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допустимой, так как код аналитики по доходам</w:t>
            </w:r>
          </w:p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от операционной аренды не заполняется.</w:t>
            </w:r>
          </w:p>
        </w:tc>
      </w:tr>
    </w:tbl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64017E" w:rsidRDefault="0064017E"/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3840"/>
        <w:gridCol w:w="266"/>
        <w:gridCol w:w="2559"/>
        <w:gridCol w:w="60"/>
      </w:tblGrid>
      <w:tr w:rsidR="0064017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017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017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/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Плешаков Алексей Александрович</w:t>
            </w:r>
          </w:p>
        </w:tc>
      </w:tr>
      <w:tr w:rsidR="0064017E">
        <w:trPr>
          <w:trHeight w:val="248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(расшифровка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подписи)</w:t>
            </w:r>
          </w:p>
        </w:tc>
      </w:tr>
      <w:tr w:rsidR="0064017E">
        <w:trPr>
          <w:trHeight w:val="1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17E">
        <w:trPr>
          <w:trHeight w:val="2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планово-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  <w:tr w:rsidR="0064017E">
        <w:trPr>
          <w:trHeight w:val="148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 службы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64017E">
        <w:trPr>
          <w:trHeight w:val="80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17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Юлия Ивановна</w:t>
            </w:r>
          </w:p>
        </w:tc>
      </w:tr>
      <w:tr w:rsidR="0064017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64017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4017E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</w:tr>
    </w:tbl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49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412"/>
        <w:gridCol w:w="808"/>
        <w:gridCol w:w="2362"/>
        <w:gridCol w:w="276"/>
      </w:tblGrid>
      <w:tr w:rsidR="0064017E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17E">
        <w:trPr>
          <w:trHeight w:val="306"/>
        </w:trPr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          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  <w:tr w:rsidR="0064017E">
        <w:trPr>
          <w:trHeight w:val="32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  <w:tr w:rsidR="0064017E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</w:tbl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1958"/>
        <w:gridCol w:w="189"/>
        <w:gridCol w:w="3598"/>
        <w:gridCol w:w="262"/>
        <w:gridCol w:w="2498"/>
      </w:tblGrid>
      <w:tr w:rsidR="0064017E">
        <w:trPr>
          <w:trHeight w:val="7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>
            <w:pPr>
              <w:rPr>
                <w:sz w:val="8"/>
              </w:rPr>
            </w:pP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>
            <w:pPr>
              <w:rPr>
                <w:sz w:val="8"/>
              </w:rPr>
            </w:pPr>
          </w:p>
        </w:tc>
      </w:tr>
      <w:tr w:rsidR="0064017E">
        <w:trPr>
          <w:trHeight w:val="19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17E" w:rsidRDefault="001C1F8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(подпись) </w:t>
            </w: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017E" w:rsidRDefault="001C1F8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1835"/>
        <w:gridCol w:w="256"/>
        <w:gridCol w:w="2911"/>
        <w:gridCol w:w="256"/>
        <w:gridCol w:w="564"/>
        <w:gridCol w:w="515"/>
        <w:gridCol w:w="489"/>
        <w:gridCol w:w="320"/>
        <w:gridCol w:w="1578"/>
      </w:tblGrid>
      <w:tr w:rsidR="0064017E">
        <w:trPr>
          <w:trHeight w:val="80"/>
        </w:trPr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8"/>
              </w:rPr>
            </w:pPr>
          </w:p>
        </w:tc>
        <w:tc>
          <w:tcPr>
            <w:tcW w:w="1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7E" w:rsidRDefault="0064017E">
            <w:pPr>
              <w:rPr>
                <w:sz w:val="8"/>
              </w:rPr>
            </w:pP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017E">
        <w:trPr>
          <w:trHeight w:val="60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4017E">
        <w:trPr>
          <w:trHeight w:val="48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>
            <w:pPr>
              <w:rPr>
                <w:sz w:val="24"/>
              </w:rPr>
            </w:pPr>
          </w:p>
        </w:tc>
      </w:tr>
      <w:tr w:rsidR="0064017E">
        <w:trPr>
          <w:trHeight w:val="22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017E" w:rsidRDefault="0064017E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017E" w:rsidRDefault="001C1F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017E" w:rsidRDefault="001C1F8D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(телефон,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4017E">
        <w:trPr>
          <w:trHeight w:val="74"/>
        </w:trPr>
        <w:tc>
          <w:tcPr>
            <w:tcW w:w="3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>
            <w:pPr>
              <w:rPr>
                <w:sz w:val="8"/>
              </w:rPr>
            </w:pPr>
          </w:p>
        </w:tc>
      </w:tr>
      <w:tr w:rsidR="0064017E">
        <w:tc>
          <w:tcPr>
            <w:tcW w:w="5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17E" w:rsidRDefault="001C1F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17E" w:rsidRDefault="0064017E"/>
        </w:tc>
      </w:tr>
      <w:tr w:rsidR="0064017E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17E" w:rsidRDefault="0064017E"/>
        </w:tc>
      </w:tr>
    </w:tbl>
    <w:p w:rsidR="0064017E" w:rsidRDefault="001C1F8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64017E" w:rsidRDefault="001C1F8D"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sectPr w:rsidR="0064017E" w:rsidSect="0064017E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017E"/>
    <w:rsid w:val="001C1F8D"/>
    <w:rsid w:val="0064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64017E"/>
  </w:style>
  <w:style w:type="character" w:styleId="a3">
    <w:name w:val="Hyperlink"/>
    <w:rsid w:val="0064017E"/>
    <w:rPr>
      <w:color w:val="0000FF"/>
      <w:u w:val="single"/>
    </w:rPr>
  </w:style>
  <w:style w:type="table" w:styleId="1">
    <w:name w:val="Table Simple 1"/>
    <w:basedOn w:val="a1"/>
    <w:rsid w:val="006401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2297</Words>
  <Characters>13095</Characters>
  <Application>Microsoft Office Word</Application>
  <DocSecurity>0</DocSecurity>
  <Lines>109</Lines>
  <Paragraphs>30</Paragraphs>
  <ScaleCrop>false</ScaleCrop>
  <Company/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2024-07-19T05:44:00Z</dcterms:created>
  <dcterms:modified xsi:type="dcterms:W3CDTF">2024-07-19T05:44:00Z</dcterms:modified>
</cp:coreProperties>
</file>