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772"/>
      </w:tblGrid>
      <w:tr w:rsidR="00BD5FE3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приказом Минфина РФ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28 декабря 2010 г. № 191н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(в ред. от 16 ноября 2016 г.)</w:t>
            </w:r>
          </w:p>
        </w:tc>
      </w:tr>
    </w:tbl>
    <w:p w:rsidR="00BD5FE3" w:rsidRDefault="00BA0DE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958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169"/>
        <w:gridCol w:w="231"/>
        <w:gridCol w:w="1500"/>
        <w:gridCol w:w="1680"/>
      </w:tblGrid>
      <w:tr w:rsidR="00BD5FE3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</w:tr>
      <w:tr w:rsidR="00BD5FE3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BD5FE3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BD5FE3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апреля 2025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01.04.2025</w:t>
            </w:r>
          </w:p>
        </w:tc>
      </w:tr>
      <w:tr w:rsidR="00BD5FE3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</w:tr>
      <w:tr w:rsidR="00BD5FE3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средств, главный администратор,   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0"/>
              </w:rPr>
            </w:pPr>
          </w:p>
        </w:tc>
      </w:tr>
      <w:tr w:rsidR="00BD5FE3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01938851</w:t>
            </w:r>
          </w:p>
        </w:tc>
      </w:tr>
      <w:tr w:rsidR="00BD5FE3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0"/>
              </w:rPr>
            </w:pPr>
          </w:p>
        </w:tc>
      </w:tr>
      <w:tr w:rsidR="00BD5FE3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0"/>
              </w:rPr>
            </w:pPr>
          </w:p>
        </w:tc>
      </w:tr>
      <w:tr w:rsidR="00BD5FE3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ЗДРАВООХРАНЕНИЯ "ЛОПАТИНСКАЯ УЧАСТКОВАЯ БОЛЬНИЦА"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BD5FE3" w:rsidRDefault="00BA0D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855</w:t>
            </w:r>
          </w:p>
        </w:tc>
      </w:tr>
      <w:tr w:rsidR="00BD5FE3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</w:tr>
      <w:tr w:rsidR="00BD5FE3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субъекта РФ</w:t>
            </w:r>
          </w:p>
          <w:p w:rsidR="00BD5FE3" w:rsidRDefault="00BA0DE5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56000000</w:t>
            </w:r>
          </w:p>
        </w:tc>
      </w:tr>
      <w:tr w:rsidR="00BD5FE3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</w:tr>
      <w:tr w:rsidR="00BD5FE3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BD5FE3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</w:tr>
      <w:tr w:rsidR="00BD5FE3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</w:tr>
    </w:tbl>
    <w:p w:rsidR="00BD5FE3" w:rsidRDefault="00BA0DE5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  «Организационная структура субъекта бюджетной отчетности»</w:t>
      </w:r>
    </w:p>
    <w:p w:rsidR="00BD5FE3" w:rsidRDefault="00BA0DE5">
      <w:pPr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5FE3" w:rsidRDefault="00BA0DE5">
      <w:pPr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видов выплат по публичным нормативным обязательствам (ПНО) в отчетном периоде и их установленный размер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543"/>
        <w:gridCol w:w="1875"/>
        <w:gridCol w:w="6488"/>
      </w:tblGrid>
      <w:tr w:rsidR="00BD5FE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вида выплат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 выплаты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 Правительства Пензенской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обьласти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установивший правила осуществления выплаты</w:t>
            </w:r>
          </w:p>
        </w:tc>
      </w:tr>
      <w:tr w:rsidR="00BD5FE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Ежемесячная денежная компенсация на возмещение расходов по оплате жилого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помещения и коммунальных услуг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300,00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spacing w:line="36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Постановление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Правительства Пензенской обл. от 28.12.2024 N 1112-пП "О порядке осуществления и финансового обеспечения автономным, бюджетным учреждением Пензенской области полномочий исполнительного органа Пензенской области по исполнению публичных обязательств перед фи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зическим лицом, подлежащих исполнению в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денежной форме, а также об утверждении перечня указанных публичных обязательств"</w:t>
            </w:r>
          </w:p>
        </w:tc>
      </w:tr>
      <w:tr w:rsidR="00BD5FE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D5FE3" w:rsidRDefault="00BA0DE5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5FE3" w:rsidRDefault="00BA0DE5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2 «Результаты деятельности субъекта бюджетной отчетности» </w:t>
      </w:r>
    </w:p>
    <w:p w:rsidR="00BD5FE3" w:rsidRDefault="00BA0DE5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5FE3" w:rsidRDefault="00BA0DE5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Количество и сумма выплат в отчетном периоде.</w:t>
      </w:r>
    </w:p>
    <w:tbl>
      <w:tblPr>
        <w:tblW w:w="9960" w:type="dxa"/>
        <w:tblInd w:w="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065"/>
        <w:gridCol w:w="1995"/>
        <w:gridCol w:w="1965"/>
        <w:gridCol w:w="1935"/>
      </w:tblGrid>
      <w:tr w:rsidR="00BD5FE3">
        <w:trPr>
          <w:trHeight w:val="1275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ind w:left="4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Месяц выплаты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получателей выплат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сумма выплат</w:t>
            </w:r>
          </w:p>
        </w:tc>
      </w:tr>
      <w:tr w:rsidR="00BD5FE3">
        <w:trPr>
          <w:trHeight w:val="255"/>
        </w:trPr>
        <w:tc>
          <w:tcPr>
            <w:tcW w:w="40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денежные компенсации на возмещение расходов по оплате жилого помещения и коммунальных услуг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21000</w:t>
            </w:r>
          </w:p>
        </w:tc>
      </w:tr>
      <w:tr w:rsidR="00BD5FE3">
        <w:trPr>
          <w:trHeight w:val="255"/>
        </w:trPr>
        <w:tc>
          <w:tcPr>
            <w:tcW w:w="40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D5FE3"/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20700</w:t>
            </w:r>
          </w:p>
        </w:tc>
      </w:tr>
      <w:tr w:rsidR="00BD5FE3">
        <w:trPr>
          <w:trHeight w:val="255"/>
        </w:trPr>
        <w:tc>
          <w:tcPr>
            <w:tcW w:w="40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D5FE3"/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20400</w:t>
            </w:r>
          </w:p>
        </w:tc>
      </w:tr>
      <w:tr w:rsidR="00BD5FE3">
        <w:trPr>
          <w:trHeight w:val="255"/>
        </w:trPr>
        <w:tc>
          <w:tcPr>
            <w:tcW w:w="4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</w:tr>
    </w:tbl>
    <w:p w:rsidR="00BD5FE3" w:rsidRDefault="00BA0DE5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5FE3" w:rsidRDefault="00BA0DE5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 «Анализ отчета об исполнении бюджета субъектом бюджетной отчетности»</w:t>
      </w:r>
    </w:p>
    <w:p w:rsidR="00BD5FE3" w:rsidRDefault="00BA0DE5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BD5FE3" w:rsidRDefault="00BA0DE5">
      <w:pPr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302"/>
        <w:gridCol w:w="3302"/>
        <w:gridCol w:w="3302"/>
      </w:tblGrid>
      <w:tr w:rsidR="00BD5FE3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вида выплат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Кассовое исполнение на отчетную дату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десятичными знаками после запятой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Пояснение </w:t>
            </w:r>
          </w:p>
        </w:tc>
      </w:tr>
      <w:tr w:rsidR="00BD5FE3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денежные компенсации на возмещение расходов по оплате жилого помещения и коммунальных услуг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_____</w:t>
            </w:r>
          </w:p>
        </w:tc>
      </w:tr>
    </w:tbl>
    <w:p w:rsidR="00BD5FE3" w:rsidRDefault="00BA0DE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5FE3" w:rsidRDefault="00BA0DE5">
      <w:pPr>
        <w:spacing w:line="360" w:lineRule="auto"/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4 «Анализ показателей бухгалтерской отчетности субъекта бюджетной отчетности»</w:t>
      </w:r>
    </w:p>
    <w:p w:rsidR="00BD5FE3" w:rsidRDefault="00BA0DE5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Анализ дебиторской и кредиторской задолжен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ности </w:t>
      </w:r>
    </w:p>
    <w:p w:rsidR="00BD5FE3" w:rsidRDefault="00BA0DE5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0" w:type="auto"/>
        <w:tblInd w:w="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827"/>
        <w:gridCol w:w="1710"/>
        <w:gridCol w:w="1845"/>
        <w:gridCol w:w="4188"/>
      </w:tblGrid>
      <w:tr w:rsidR="00BD5FE3">
        <w:trPr>
          <w:trHeight w:val="1275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ind w:left="4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сумма задолженности на отчетную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задолженности (дебиторская или кредиторская).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Период образования задолженности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причины образования, принимаемые меры</w:t>
            </w:r>
          </w:p>
        </w:tc>
      </w:tr>
      <w:tr w:rsidR="00BD5FE3">
        <w:trPr>
          <w:trHeight w:val="255"/>
        </w:trPr>
        <w:tc>
          <w:tcPr>
            <w:tcW w:w="1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4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</w:tr>
    </w:tbl>
    <w:p w:rsidR="00BD5FE3" w:rsidRDefault="00BA0DE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5FE3" w:rsidRDefault="00BA0DE5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5FE3" w:rsidRDefault="00BA0DE5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5 «Прочие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вопросы деятельности субъекта бюджетной отчетности»</w:t>
      </w:r>
    </w:p>
    <w:p w:rsidR="00BD5FE3" w:rsidRDefault="00BA0DE5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BD5FE3" w:rsidRDefault="00BA0DE5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5FE3" w:rsidRDefault="00BA0DE5">
      <w:pPr>
        <w:jc w:val="center"/>
      </w:pPr>
      <w:bookmarkStart w:id="0" w:name="_dx_frag_StartFragment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допустимых предупреждениях при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внутриформенном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межформенном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контроле в ПК «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Свод-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WEB</w:t>
      </w:r>
      <w:proofErr w:type="spellEnd"/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>»</w:t>
      </w:r>
    </w:p>
    <w:tbl>
      <w:tblPr>
        <w:tblW w:w="1041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262"/>
        <w:gridCol w:w="4148"/>
      </w:tblGrid>
      <w:tr w:rsidR="00BD5FE3"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Состав предупреждения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ind w:right="52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Пояснение допустимости</w:t>
            </w:r>
          </w:p>
        </w:tc>
      </w:tr>
      <w:tr w:rsidR="00BD5FE3"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r>
              <w:rPr>
                <w:rFonts w:ascii="Calibri" w:eastAsia="Calibri" w:hAnsi="Calibri" w:cs="Calibri"/>
                <w:color w:val="000000"/>
              </w:rPr>
              <w:t xml:space="preserve">Несоответствие итоговых строк плановых назначений по расходам  ф. 0503127 и 0503164 недопустимо. 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контрольных соотношений не идут допустимые ошибки в связи с тем, что бюджетным учреждениям не доводятся лимиты бюджетных обязательств.</w:t>
            </w:r>
          </w:p>
          <w:p w:rsidR="00BD5FE3" w:rsidRDefault="00BA0DE5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5FE3"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FE3" w:rsidRDefault="00BA0DE5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D5FE3" w:rsidRDefault="00BA0DE5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5FE3" w:rsidRDefault="00BA0DE5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BD5FE3" w:rsidRDefault="00BA0DE5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5FE3" w:rsidRDefault="00BA0DE5">
      <w:r>
        <w:rPr>
          <w:rFonts w:ascii="Calibri" w:eastAsia="Calibri" w:hAnsi="Calibri" w:cs="Calibri"/>
          <w:color w:val="000000"/>
        </w:rPr>
        <w:t> </w:t>
      </w:r>
      <w:bookmarkStart w:id="1" w:name="_dx_frag_EndFragment"/>
      <w:bookmarkEnd w:id="1"/>
    </w:p>
    <w:p w:rsidR="00BD5FE3" w:rsidRDefault="00BD5FE3"/>
    <w:tbl>
      <w:tblPr>
        <w:tblW w:w="1094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4732"/>
        <w:gridCol w:w="3478"/>
      </w:tblGrid>
      <w:tr w:rsidR="00BD5FE3">
        <w:tc>
          <w:tcPr>
            <w:tcW w:w="109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D5FE3"/>
        </w:tc>
      </w:tr>
      <w:tr w:rsidR="00BD5FE3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D5FE3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Плешаков Алексей Александрович</w:t>
            </w:r>
          </w:p>
        </w:tc>
      </w:tr>
      <w:tr w:rsidR="00BD5FE3">
        <w:trPr>
          <w:trHeight w:val="280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BD5FE3">
        <w:trPr>
          <w:trHeight w:val="132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D5FE3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D5FE3">
            <w:pPr>
              <w:rPr>
                <w:sz w:val="24"/>
              </w:rPr>
            </w:pPr>
          </w:p>
        </w:tc>
      </w:tr>
      <w:tr w:rsidR="00BD5FE3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BD5FE3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D5FE3">
            <w:pPr>
              <w:rPr>
                <w:sz w:val="24"/>
              </w:rPr>
            </w:pPr>
          </w:p>
        </w:tc>
      </w:tr>
      <w:tr w:rsidR="00BD5FE3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BD5FE3" w:rsidRDefault="00BA0D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D5FE3" w:rsidRDefault="00BA0D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D5FE3">
            <w:pPr>
              <w:rPr>
                <w:sz w:val="24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5FE3" w:rsidRDefault="00BA0DE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Колмыкова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Юлия Ивановна</w:t>
            </w:r>
          </w:p>
        </w:tc>
      </w:tr>
      <w:tr w:rsidR="00BD5FE3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FE3" w:rsidRDefault="00BA0DE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BD5FE3" w:rsidRDefault="00BA0DE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D5FE3" w:rsidRDefault="00BA0DE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"____"   </w:t>
      </w:r>
      <w:r>
        <w:rPr>
          <w:rFonts w:ascii="Times New Roman" w:eastAsia="Times New Roman" w:hAnsi="Times New Roman" w:cs="Times New Roman"/>
          <w:sz w:val="20"/>
          <w:szCs w:val="20"/>
        </w:rPr>
        <w:t>____________ 20____г.</w:t>
      </w:r>
    </w:p>
    <w:p w:rsidR="00BD5FE3" w:rsidRDefault="00BA0DE5"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</w:p>
    <w:sectPr w:rsidR="00BD5FE3" w:rsidSect="00BD5FE3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5FE3"/>
    <w:rsid w:val="003F2EE7"/>
    <w:rsid w:val="00BA0DE5"/>
    <w:rsid w:val="00BD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5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BD5FE3"/>
  </w:style>
  <w:style w:type="character" w:styleId="a3">
    <w:name w:val="Hyperlink"/>
    <w:rsid w:val="00BD5FE3"/>
    <w:rPr>
      <w:color w:val="0000FF"/>
      <w:u w:val="single"/>
    </w:rPr>
  </w:style>
  <w:style w:type="table" w:styleId="1">
    <w:name w:val="Table Simple 1"/>
    <w:basedOn w:val="a1"/>
    <w:rsid w:val="00BD5F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2025-04-17T11:28:00Z</dcterms:created>
  <dcterms:modified xsi:type="dcterms:W3CDTF">2025-04-17T11:28:00Z</dcterms:modified>
</cp:coreProperties>
</file>